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7F47" w14:textId="0782F90B" w:rsidR="006701AD" w:rsidRPr="008E2C42" w:rsidRDefault="008E2C42" w:rsidP="00A263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C42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1583</w:t>
      </w:r>
      <w:r w:rsidRPr="008E2C42">
        <w:rPr>
          <w:rFonts w:ascii="Times New Roman" w:hAnsi="Times New Roman" w:cs="Times New Roman"/>
          <w:sz w:val="28"/>
          <w:szCs w:val="28"/>
        </w:rPr>
        <w:t xml:space="preserve">/TB-CTHADS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A263C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263C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C4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8E2C42">
        <w:rPr>
          <w:rFonts w:ascii="Times New Roman" w:hAnsi="Times New Roman" w:cs="Times New Roman"/>
          <w:sz w:val="28"/>
          <w:szCs w:val="28"/>
        </w:rPr>
        <w:t xml:space="preserve"> An</w:t>
      </w:r>
      <w:r w:rsidR="00A263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700"/>
        <w:gridCol w:w="1080"/>
        <w:gridCol w:w="1080"/>
        <w:gridCol w:w="1880"/>
      </w:tblGrid>
      <w:tr w:rsidR="0072475A" w:rsidRPr="00BF65B8" w14:paraId="54107511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CF41D5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4700" w:type="dxa"/>
            <w:shd w:val="clear" w:color="000000" w:fill="FFFFFF"/>
            <w:vAlign w:val="center"/>
            <w:hideMark/>
          </w:tcPr>
          <w:p w14:paraId="6C17B66D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Hạng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BE699C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7E662C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5C697092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tiền</w:t>
            </w:r>
            <w:proofErr w:type="spellEnd"/>
          </w:p>
        </w:tc>
      </w:tr>
      <w:tr w:rsidR="0072475A" w:rsidRPr="00BF65B8" w14:paraId="7B4DAE94" w14:textId="77777777" w:rsidTr="00CD3BB8">
        <w:trPr>
          <w:gridBefore w:val="1"/>
          <w:wBefore w:w="1080" w:type="dxa"/>
          <w:trHeight w:val="330"/>
        </w:trPr>
        <w:tc>
          <w:tcPr>
            <w:tcW w:w="4700" w:type="dxa"/>
            <w:shd w:val="clear" w:color="000000" w:fill="FFFFFF"/>
            <w:vAlign w:val="center"/>
            <w:hideMark/>
          </w:tcPr>
          <w:p w14:paraId="1667F9D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Điện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E7D5A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Chiếc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1FCB592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422</w:t>
            </w: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46CE8193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81.205.000</w:t>
            </w:r>
          </w:p>
        </w:tc>
      </w:tr>
      <w:tr w:rsidR="0072475A" w:rsidRPr="00BF65B8" w14:paraId="2D2F4398" w14:textId="77777777" w:rsidTr="00CD3BB8">
        <w:trPr>
          <w:trHeight w:val="33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E2F5D3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II</w:t>
            </w:r>
          </w:p>
        </w:tc>
        <w:tc>
          <w:tcPr>
            <w:tcW w:w="4700" w:type="dxa"/>
            <w:shd w:val="clear" w:color="000000" w:fill="FFFFFF"/>
            <w:vAlign w:val="center"/>
            <w:hideMark/>
          </w:tcPr>
          <w:p w14:paraId="2A183E7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máy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21C860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1106F5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shd w:val="clear" w:color="000000" w:fill="FFFFFF"/>
            <w:vAlign w:val="center"/>
            <w:hideMark/>
          </w:tcPr>
          <w:p w14:paraId="7E44B70C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166.000.000</w:t>
            </w:r>
          </w:p>
        </w:tc>
      </w:tr>
      <w:tr w:rsidR="0072475A" w:rsidRPr="00BF65B8" w14:paraId="02E6C304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0940D7F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7AAE07A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Exciter, BKS: 37F1-214.20 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1725A7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04B51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EA4CA04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12.000.000</w:t>
            </w:r>
          </w:p>
        </w:tc>
      </w:tr>
      <w:tr w:rsidR="0072475A" w:rsidRPr="00BF65B8" w14:paraId="3A5ED522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9D40F7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762767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 Ware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38D1-200.47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766A39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9ED030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2A5B6B3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5.000.000</w:t>
            </w:r>
          </w:p>
        </w:tc>
      </w:tr>
      <w:tr w:rsidR="0072475A" w:rsidRPr="00BF65B8" w14:paraId="0F5A0D17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323469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B58663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YMT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37P1 - 35540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558DB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2A817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3B69AB7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4.000.000</w:t>
            </w:r>
          </w:p>
        </w:tc>
      </w:tr>
      <w:tr w:rsidR="0072475A" w:rsidRPr="00BF65B8" w14:paraId="2A3FCEE0" w14:textId="77777777" w:rsidTr="00CD3BB8">
        <w:trPr>
          <w:trHeight w:val="99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0CB4DE1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1B8A459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Sirius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37K1-020.02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85A03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FDBB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07D840D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5.500.000</w:t>
            </w:r>
          </w:p>
        </w:tc>
      </w:tr>
      <w:tr w:rsidR="0072475A" w:rsidRPr="00BF65B8" w14:paraId="37CD33CF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CF02D4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5060F0D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Sirius,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37F1-106.58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7C552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DB23B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1F6E573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5.500.000</w:t>
            </w:r>
          </w:p>
        </w:tc>
      </w:tr>
      <w:tr w:rsidR="0072475A" w:rsidRPr="00BF65B8" w14:paraId="52FCE6E8" w14:textId="77777777" w:rsidTr="00CD3BB8">
        <w:trPr>
          <w:trHeight w:val="99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56496D8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9FBD25F" w14:textId="65AC8DEF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chiếc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Wave </w:t>
            </w:r>
            <w:proofErr w:type="gram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an</w:t>
            </w:r>
            <w:proofErr w:type="gram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pha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: 37H - 092.99.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C269C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9615E1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762C3C2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5.000.000</w:t>
            </w:r>
          </w:p>
        </w:tc>
      </w:tr>
      <w:tr w:rsidR="0072475A" w:rsidRPr="00BF65B8" w14:paraId="09C97487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4B332EA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5922E8A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Sirius,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37H1 - 320.80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410247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4F71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898678D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4.000.000</w:t>
            </w:r>
          </w:p>
        </w:tc>
      </w:tr>
      <w:tr w:rsidR="0072475A" w:rsidRPr="00BF65B8" w14:paraId="545FDDB1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10880C8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E55545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Sirius,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37D1-052.80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91310C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136FF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7BBA2C2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4.000.000</w:t>
            </w:r>
          </w:p>
        </w:tc>
      </w:tr>
      <w:tr w:rsidR="0072475A" w:rsidRPr="00BF65B8" w14:paraId="52FAB68C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7CC8BAB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BB11D5C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nâu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: 37M3-2752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C0228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F928D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69FFEB1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7.000.000</w:t>
            </w:r>
          </w:p>
        </w:tc>
      </w:tr>
      <w:tr w:rsidR="0072475A" w:rsidRPr="00BF65B8" w14:paraId="38BEE397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773A086D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8622933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Surius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xám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. BKS: 37D1-134.48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8D336B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6ABE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15D70D8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5.000.000</w:t>
            </w:r>
          </w:p>
        </w:tc>
      </w:tr>
      <w:tr w:rsidR="0072475A" w:rsidRPr="00BF65B8" w14:paraId="2E279E3B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0E2DD88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FD836CB" w14:textId="77777777" w:rsidR="0072475A" w:rsidRPr="00BF65B8" w:rsidRDefault="0072475A" w:rsidP="00CD3BB8">
            <w:pPr>
              <w:spacing w:line="312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 Vison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xám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37M1-307.32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BAC05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72BFF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C3A9309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13.000.000</w:t>
            </w:r>
          </w:p>
        </w:tc>
      </w:tr>
      <w:tr w:rsidR="0072475A" w:rsidRPr="00BF65B8" w14:paraId="2CE91D7A" w14:textId="77777777" w:rsidTr="00CD3BB8">
        <w:trPr>
          <w:trHeight w:val="99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40EE0EB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7B7F8D9" w14:textId="77777777" w:rsidR="0072475A" w:rsidRPr="00BF65B8" w:rsidRDefault="0072475A" w:rsidP="00CD3BB8">
            <w:pPr>
              <w:spacing w:line="312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WAVE RSX,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37F1-773.03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D2594D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B8A8D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63290C9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6.000.000</w:t>
            </w:r>
          </w:p>
        </w:tc>
      </w:tr>
      <w:tr w:rsidR="0072475A" w:rsidRPr="00BF65B8" w14:paraId="642B4C4C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061C9C7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2ABAEEB" w14:textId="77777777" w:rsidR="0072475A" w:rsidRPr="00BF65B8" w:rsidRDefault="0072475A" w:rsidP="00CD3BB8">
            <w:pPr>
              <w:spacing w:line="312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 FUTURE Fi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BKS: 37F1-152.93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62227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D233A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514A5D8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5.000.000</w:t>
            </w:r>
          </w:p>
        </w:tc>
      </w:tr>
      <w:tr w:rsidR="0072475A" w:rsidRPr="00BF65B8" w14:paraId="767FC917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C1AF0F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09B79D7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HONDA DREAM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nâu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37E1-165.73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79E10D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F8B285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0E54474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6.000.000</w:t>
            </w:r>
          </w:p>
        </w:tc>
      </w:tr>
      <w:tr w:rsidR="0072475A" w:rsidRPr="00BF65B8" w14:paraId="5F081DA8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1F5264F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6F8A64F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EXCITER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37H1-409.24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10F63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C2B42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5865F71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15.000.000</w:t>
            </w:r>
          </w:p>
        </w:tc>
      </w:tr>
      <w:tr w:rsidR="0072475A" w:rsidRPr="00BF65B8" w14:paraId="29C251F4" w14:textId="77777777" w:rsidTr="00CD3BB8">
        <w:trPr>
          <w:trHeight w:val="99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5566AB4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EC64059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EXCITER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xám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gắn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soát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: G3D4E674807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9F89F2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7BED2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A4665F5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15.000.000</w:t>
            </w:r>
          </w:p>
        </w:tc>
      </w:tr>
      <w:tr w:rsidR="0072475A" w:rsidRPr="00BF65B8" w14:paraId="3736C170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1ECED15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F41A5F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Exciter,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37F1-165.30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88A06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7ED87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5429ABB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14.000.000</w:t>
            </w:r>
          </w:p>
        </w:tc>
      </w:tr>
      <w:tr w:rsidR="0072475A" w:rsidRPr="00BF65B8" w14:paraId="0ED0C2EA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4AA7C6C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182432C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EVERY,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110,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37P3-6499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57B84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44D4E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0A897B4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4.000.000</w:t>
            </w:r>
          </w:p>
        </w:tc>
      </w:tr>
      <w:tr w:rsidR="0072475A" w:rsidRPr="00BF65B8" w14:paraId="35C909F3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79D23B7C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140F1E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Jupiter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Gravita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37N9-0686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8C9CC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68BA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D0862F5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4.000.000</w:t>
            </w:r>
          </w:p>
        </w:tc>
      </w:tr>
      <w:tr w:rsidR="0072475A" w:rsidRPr="00BF65B8" w14:paraId="3782D3F0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7C8F8AE9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9D11278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Sirius, BKS: 37D1 – 73175 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4BE48F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019DCC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00F56D5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6.000.000</w:t>
            </w:r>
          </w:p>
        </w:tc>
      </w:tr>
      <w:tr w:rsidR="0072475A" w:rsidRPr="00BF65B8" w14:paraId="762E3740" w14:textId="77777777" w:rsidTr="00CD3BB8">
        <w:trPr>
          <w:trHeight w:val="454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31097E9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544B6AD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Sirius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trắng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BKS 37D1-030.50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4E5BB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29D95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C0425E2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6.000.000</w:t>
            </w:r>
          </w:p>
        </w:tc>
      </w:tr>
      <w:tr w:rsidR="0072475A" w:rsidRPr="00BF65B8" w14:paraId="74B69276" w14:textId="77777777" w:rsidTr="00CD3BB8">
        <w:trPr>
          <w:trHeight w:val="660"/>
        </w:trPr>
        <w:tc>
          <w:tcPr>
            <w:tcW w:w="1080" w:type="dxa"/>
            <w:shd w:val="clear" w:color="000000" w:fill="FFFFFF"/>
            <w:vAlign w:val="bottom"/>
            <w:hideMark/>
          </w:tcPr>
          <w:p w14:paraId="660A7EA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BAA6008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Xe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Yamaha Exciter,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, BKS: 59Y3-05290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1232DAB1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FC6C3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45D0C230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15.000.000</w:t>
            </w:r>
          </w:p>
        </w:tc>
      </w:tr>
      <w:tr w:rsidR="0072475A" w:rsidRPr="00BF65B8" w14:paraId="5E5E1BAC" w14:textId="77777777" w:rsidTr="00CD3BB8">
        <w:trPr>
          <w:gridBefore w:val="1"/>
          <w:wBefore w:w="1080" w:type="dxa"/>
          <w:trHeight w:val="330"/>
        </w:trPr>
        <w:tc>
          <w:tcPr>
            <w:tcW w:w="4700" w:type="dxa"/>
            <w:shd w:val="clear" w:color="auto" w:fill="auto"/>
            <w:vAlign w:val="center"/>
            <w:hideMark/>
          </w:tcPr>
          <w:p w14:paraId="1B1DAFB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Xe ô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tô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EA6986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DF316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8779363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180.000.000</w:t>
            </w:r>
          </w:p>
        </w:tc>
      </w:tr>
      <w:tr w:rsidR="0072475A" w:rsidRPr="00BF65B8" w14:paraId="051EB62B" w14:textId="77777777" w:rsidTr="00CD3BB8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58861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IV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E1D6D8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FEFACD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87DF0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3343695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33.900.000</w:t>
            </w:r>
          </w:p>
        </w:tc>
      </w:tr>
      <w:tr w:rsidR="0072475A" w:rsidRPr="00BF65B8" w14:paraId="00A70D7C" w14:textId="77777777" w:rsidTr="00CD3BB8">
        <w:trPr>
          <w:trHeight w:val="264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3F406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43968367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xách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tay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Dell,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Vostro 15,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Service tag (S/N): J0J6VJ2.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01 (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xạc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pin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Dell,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01 (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chuột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Logitech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đều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3BE8C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5CFB00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2B15DC09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3.000.000</w:t>
            </w:r>
          </w:p>
        </w:tc>
      </w:tr>
      <w:tr w:rsidR="0072475A" w:rsidRPr="00BF65B8" w14:paraId="7083556E" w14:textId="77777777" w:rsidTr="00CD3BB8">
        <w:trPr>
          <w:trHeight w:val="1284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D0D4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26B38F0D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nghe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nhạc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dáng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trụ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khoảng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40x8cm.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83A96B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75F3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CDC0A49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</w:tr>
      <w:tr w:rsidR="0072475A" w:rsidRPr="00BF65B8" w14:paraId="70FDFE2B" w14:textId="77777777" w:rsidTr="00CD3BB8">
        <w:trPr>
          <w:trHeight w:val="99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713EA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87DFA9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xách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tay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Dell,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chuột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Fuhlen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xạc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025B6C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7A3AC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12D46B2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5.000.000</w:t>
            </w:r>
          </w:p>
        </w:tc>
      </w:tr>
      <w:tr w:rsidR="0072475A" w:rsidRPr="00BF65B8" w14:paraId="6A636423" w14:textId="77777777" w:rsidTr="00CD3BB8">
        <w:trPr>
          <w:trHeight w:val="29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0C99D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0D771F22" w14:textId="77777777" w:rsidR="0072475A" w:rsidRPr="00BF65B8" w:rsidRDefault="0072475A" w:rsidP="00CD3BB8">
            <w:pPr>
              <w:spacing w:line="312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wifi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trắng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EN:OQKAMAU</w:t>
            </w:r>
            <w:proofErr w:type="gram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01440;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tai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nghe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gắn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micro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JD-V9;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CPU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40x30x15cm,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XEN43057X1092971314,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Startview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model: S27SHV165HZ,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kèm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phím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chuột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21426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FBC382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67881390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</w:tr>
      <w:tr w:rsidR="0072475A" w:rsidRPr="00BF65B8" w14:paraId="7CA02461" w14:textId="77777777" w:rsidTr="00CD3BB8">
        <w:trPr>
          <w:trHeight w:val="596"/>
        </w:trPr>
        <w:tc>
          <w:tcPr>
            <w:tcW w:w="1080" w:type="dxa"/>
            <w:shd w:val="clear" w:color="auto" w:fill="auto"/>
            <w:noWrap/>
            <w:vAlign w:val="bottom"/>
          </w:tcPr>
          <w:p w14:paraId="020570F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00" w:type="dxa"/>
            <w:shd w:val="clear" w:color="auto" w:fill="auto"/>
            <w:vAlign w:val="center"/>
          </w:tcPr>
          <w:p w14:paraId="25CBEDA1" w14:textId="77777777" w:rsidR="0072475A" w:rsidRPr="00BF65B8" w:rsidRDefault="0072475A" w:rsidP="00CD3BB8">
            <w:pPr>
              <w:spacing w:line="312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CPU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hộp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chữ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Acer ET271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phím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E-BLUE EKM768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cáp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CPU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cổng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02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cáp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trắng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dòng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chữ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ID-COOLING;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DELL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seri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: 9MJYZJ2;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phím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- 02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dây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dài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khoảng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2m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- 01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cáp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nối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dài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2m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6805EC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0B7DD58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8B32BB2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6.000.000</w:t>
            </w:r>
          </w:p>
        </w:tc>
      </w:tr>
      <w:tr w:rsidR="0072475A" w:rsidRPr="00BF65B8" w14:paraId="578C7480" w14:textId="77777777" w:rsidTr="00CD3BB8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A084F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771A440F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Bluetooth;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đèn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nháy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lade;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B1DA1A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308EB9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1842D906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</w:tr>
      <w:tr w:rsidR="0072475A" w:rsidRPr="00BF65B8" w14:paraId="300CE2B3" w14:textId="77777777" w:rsidTr="00CD3BB8">
        <w:trPr>
          <w:trHeight w:val="349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5E2A9E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195BA41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1714B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81DCA4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8FA293C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2475A" w:rsidRPr="00BF65B8" w14:paraId="273115F1" w14:textId="77777777" w:rsidTr="00CD3BB8">
        <w:trPr>
          <w:trHeight w:val="66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61C943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3773002F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chiếc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túi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nhãn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"Polo Eagle".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gì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DAD3D4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FD542A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B92BB87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72475A" w:rsidRPr="00BF65B8" w14:paraId="3BFD586E" w14:textId="77777777" w:rsidTr="00CD3BB8">
        <w:trPr>
          <w:trHeight w:val="198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23879C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6B1622F7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07 (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bảy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cáp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bằng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dở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06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bọc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trắng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đang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chưa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giấy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bọc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dòng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chứ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"BRIGHT"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kích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thước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cuộn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kính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32cm,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23cm).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485FE1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32836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6500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527A618E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19.500.000</w:t>
            </w:r>
          </w:p>
        </w:tc>
      </w:tr>
      <w:tr w:rsidR="0072475A" w:rsidRPr="00BF65B8" w14:paraId="77A8B2AF" w14:textId="77777777" w:rsidTr="00CD3BB8">
        <w:trPr>
          <w:trHeight w:val="99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36579F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14:paraId="1CCC123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chiếc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cân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vỏ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đen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chữ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POCKET SCALE,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cân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cũ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kiểm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tra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bên</w:t>
            </w:r>
            <w:proofErr w:type="spellEnd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E32B82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08FEAB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51EBF96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</w:tr>
      <w:tr w:rsidR="0072475A" w:rsidRPr="00BF65B8" w14:paraId="1C6475F9" w14:textId="77777777" w:rsidTr="00CD3BB8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DBD192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5039A65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Tổng</w:t>
            </w:r>
            <w:proofErr w:type="spellEnd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46CBB0" w14:textId="77777777" w:rsidR="0072475A" w:rsidRPr="00BF65B8" w:rsidRDefault="0072475A" w:rsidP="00CD3BB8">
            <w:pPr>
              <w:spacing w:line="312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010537" w14:textId="77777777" w:rsidR="0072475A" w:rsidRPr="00BF65B8" w:rsidRDefault="0072475A" w:rsidP="00CD3BB8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3331E67F" w14:textId="77777777" w:rsidR="0072475A" w:rsidRPr="00BF65B8" w:rsidRDefault="0072475A" w:rsidP="00CD3BB8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461.105.000</w:t>
            </w:r>
          </w:p>
        </w:tc>
      </w:tr>
    </w:tbl>
    <w:p w14:paraId="550E9125" w14:textId="77777777" w:rsidR="0072475A" w:rsidRPr="00617376" w:rsidRDefault="0072475A" w:rsidP="0072475A">
      <w:pPr>
        <w:pStyle w:val="BodyTextIndent"/>
        <w:spacing w:before="240" w:line="312" w:lineRule="auto"/>
        <w:ind w:firstLine="539"/>
        <w:rPr>
          <w:rFonts w:ascii="Times New Roman" w:hAnsi="Times New Roman"/>
          <w:b/>
          <w:i/>
          <w:spacing w:val="-8"/>
          <w:sz w:val="28"/>
          <w:szCs w:val="26"/>
          <w:lang w:val="pt-BR"/>
        </w:rPr>
      </w:pPr>
      <w:r>
        <w:rPr>
          <w:rFonts w:ascii="Times New Roman" w:hAnsi="Times New Roman"/>
          <w:bCs w:val="0"/>
          <w:i/>
          <w:spacing w:val="-8"/>
          <w:sz w:val="28"/>
          <w:szCs w:val="26"/>
          <w:lang w:val="pt-BR"/>
        </w:rPr>
        <w:t>(</w:t>
      </w:r>
      <w:r>
        <w:rPr>
          <w:rFonts w:ascii="Times New Roman" w:hAnsi="Times New Roman"/>
          <w:b/>
          <w:i/>
          <w:spacing w:val="-8"/>
          <w:sz w:val="28"/>
          <w:szCs w:val="26"/>
          <w:lang w:val="pt-BR"/>
        </w:rPr>
        <w:t>Bằng chữ: Bốn trăm sáu mốt triệu, một trăm linh năm nghìn đồng chẵn./.)</w:t>
      </w:r>
    </w:p>
    <w:p w14:paraId="7B259C8F" w14:textId="77777777" w:rsidR="0072475A" w:rsidRDefault="0072475A"/>
    <w:sectPr w:rsidR="0072475A" w:rsidSect="008E2C42">
      <w:pgSz w:w="12240" w:h="15840"/>
      <w:pgMar w:top="850" w:right="864" w:bottom="85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5A"/>
    <w:rsid w:val="005D6682"/>
    <w:rsid w:val="006701AD"/>
    <w:rsid w:val="0072475A"/>
    <w:rsid w:val="008E2C42"/>
    <w:rsid w:val="00A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8C63"/>
  <w15:chartTrackingRefBased/>
  <w15:docId w15:val="{F81FCD82-8107-4227-9CFB-022ACF13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475A"/>
    <w:pPr>
      <w:spacing w:after="0" w:line="240" w:lineRule="auto"/>
      <w:ind w:firstLine="720"/>
      <w:jc w:val="both"/>
    </w:pPr>
    <w:rPr>
      <w:rFonts w:ascii=".VnArial" w:eastAsia="Times New Roman" w:hAnsi=".VnArial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475A"/>
    <w:rPr>
      <w:rFonts w:ascii=".VnArial" w:eastAsia="Times New Roman" w:hAnsi=".Vn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1BBD8-A026-4108-96BA-0AC49C56D7FA}"/>
</file>

<file path=customXml/itemProps2.xml><?xml version="1.0" encoding="utf-8"?>
<ds:datastoreItem xmlns:ds="http://schemas.openxmlformats.org/officeDocument/2006/customXml" ds:itemID="{95760056-70A3-4489-8328-1F163379D38C}"/>
</file>

<file path=customXml/itemProps3.xml><?xml version="1.0" encoding="utf-8"?>
<ds:datastoreItem xmlns:ds="http://schemas.openxmlformats.org/officeDocument/2006/customXml" ds:itemID="{C36997B7-4EA1-4401-B7B9-167CD1704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2023-11-06T09:40:00Z</dcterms:created>
  <dcterms:modified xsi:type="dcterms:W3CDTF">2023-11-07T08:22:00Z</dcterms:modified>
</cp:coreProperties>
</file>